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970E64" w:rsidRDefault="00C8177B" w:rsidP="00D55008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30.01.2020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66103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2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2010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с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6F25C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425B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февраля</w:t>
            </w:r>
            <w:r w:rsidR="006C7F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6F25C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февраля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C1142" w:rsidP="00E632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</w:t>
            </w:r>
            <w:r w:rsidR="00695DC3" w:rsidRPr="00695D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D1F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статистики </w:t>
            </w:r>
            <w:r w:rsidR="00E6327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сельского хозяйства, окружающей природной среды и труда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D55008" w:rsidRDefault="00970E64" w:rsidP="00E63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5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6F25C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05 февраля по 25</w:t>
                        </w:r>
                        <w:r w:rsidR="00D55008" w:rsidRPr="00D5500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55008" w:rsidRDefault="00D55008" w:rsidP="004A1336"/>
    <w:p w:rsidR="00D55008" w:rsidRDefault="00D55008" w:rsidP="004A1336"/>
    <w:p w:rsidR="00D55008" w:rsidRDefault="00D55008" w:rsidP="004A1336"/>
    <w:p w:rsidR="00D55008" w:rsidRDefault="00D55008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EA0FED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7654"/>
        <w:gridCol w:w="4368"/>
      </w:tblGrid>
      <w:tr w:rsidR="00AB3F47" w:rsidRPr="00C65C0B" w:rsidTr="00AB3F47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654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D9485D">
        <w:trPr>
          <w:trHeight w:val="543"/>
        </w:trPr>
        <w:tc>
          <w:tcPr>
            <w:tcW w:w="14824" w:type="dxa"/>
            <w:gridSpan w:val="3"/>
          </w:tcPr>
          <w:p w:rsidR="00442F12" w:rsidRPr="00D9485D" w:rsidRDefault="00442F12" w:rsidP="00D9485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Отдел статистики </w:t>
            </w:r>
            <w:r w:rsidR="00D9485D">
              <w:rPr>
                <w:rFonts w:ascii="Times New Roman" w:hAnsi="Times New Roman"/>
                <w:color w:val="auto"/>
              </w:rPr>
              <w:t>сельского хозяйства, окружающей природной среды и труда</w:t>
            </w:r>
          </w:p>
        </w:tc>
      </w:tr>
      <w:tr w:rsidR="005C6DFD" w:rsidRPr="00C65C0B" w:rsidTr="00E25DC7">
        <w:trPr>
          <w:trHeight w:val="2533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7) Федеральный закон от 24 июля 2007г. № 209-ФЗ «О развитии малого и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762EEC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4368" w:type="dxa"/>
          </w:tcPr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Старшего специалиста 1 разряда отдела: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1. 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2) взаимодействует со специалистами других отделов Краснодарстата по вопросам, входящим в компетенцию Отдела;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 xml:space="preserve">3) осуществляет </w:t>
            </w:r>
            <w:proofErr w:type="gramStart"/>
            <w:r w:rsidRPr="00D5500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55008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4)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lastRenderedPageBreak/>
              <w:t>2. Исходя из задач, направлений деятельности и функций, определенных Положением о Росстате, Положением о Краснодарстате, Положением об Отделе,  Старший специалист 1 разряда отдела исполняет следующие должностные обязанности:</w:t>
            </w:r>
          </w:p>
          <w:p w:rsidR="00D55008" w:rsidRPr="00D55008" w:rsidRDefault="00D55008" w:rsidP="00D550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5008">
              <w:rPr>
                <w:rFonts w:ascii="Times New Roman" w:hAnsi="Times New Roman"/>
                <w:sz w:val="20"/>
                <w:szCs w:val="20"/>
              </w:rPr>
              <w:t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</w:t>
            </w:r>
            <w:proofErr w:type="gramEnd"/>
            <w:r w:rsidRPr="00D55008">
              <w:rPr>
                <w:rFonts w:ascii="Times New Roman" w:hAnsi="Times New Roman"/>
                <w:sz w:val="20"/>
                <w:szCs w:val="20"/>
              </w:rPr>
              <w:t xml:space="preserve">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D55008" w:rsidRPr="00D55008" w:rsidRDefault="00D55008" w:rsidP="00D55008">
            <w:pPr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D55008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D55008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D55008" w:rsidRPr="00D55008" w:rsidRDefault="00D55008" w:rsidP="00D55008">
            <w:pPr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D55008" w:rsidRPr="00D55008" w:rsidRDefault="00D55008" w:rsidP="00D5500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</w:t>
            </w:r>
            <w:r w:rsidRPr="00D55008">
              <w:rPr>
                <w:rFonts w:ascii="Times New Roman" w:hAnsi="Times New Roman"/>
                <w:sz w:val="20"/>
                <w:szCs w:val="20"/>
              </w:rPr>
              <w:lastRenderedPageBreak/>
              <w:t>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D55008" w:rsidRPr="00D55008" w:rsidRDefault="00D55008" w:rsidP="00D5500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D55008" w:rsidRPr="00D55008" w:rsidRDefault="00D55008" w:rsidP="00D55008">
            <w:pPr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D55008" w:rsidRPr="00D55008" w:rsidRDefault="00D55008" w:rsidP="00D5500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D55008" w:rsidRPr="00D55008" w:rsidRDefault="00D55008" w:rsidP="00D55008">
            <w:pPr>
              <w:pStyle w:val="a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8) отвечает за сбор и разработку форм по статистике сельского хозяйства;</w:t>
            </w:r>
          </w:p>
          <w:p w:rsidR="00D55008" w:rsidRPr="00D55008" w:rsidRDefault="00D55008" w:rsidP="00D55008">
            <w:pPr>
              <w:pStyle w:val="a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9) участвует в сборе статистических форм № П-1(</w:t>
            </w:r>
            <w:proofErr w:type="spellStart"/>
            <w:r w:rsidRPr="00D55008">
              <w:rPr>
                <w:rFonts w:ascii="Times New Roman" w:hAnsi="Times New Roman"/>
                <w:sz w:val="20"/>
                <w:szCs w:val="20"/>
              </w:rPr>
              <w:t>сх</w:t>
            </w:r>
            <w:proofErr w:type="spellEnd"/>
            <w:r w:rsidRPr="00D55008">
              <w:rPr>
                <w:rFonts w:ascii="Times New Roman" w:hAnsi="Times New Roman"/>
                <w:sz w:val="20"/>
                <w:szCs w:val="20"/>
              </w:rPr>
              <w:t>), 1-фермер, 2-фермер.</w:t>
            </w:r>
          </w:p>
          <w:p w:rsidR="00D55008" w:rsidRPr="00D55008" w:rsidRDefault="00D55008" w:rsidP="00D55008">
            <w:pPr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>10)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 xml:space="preserve"> участвует в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D55008" w:rsidRPr="00D55008" w:rsidRDefault="00D55008" w:rsidP="00D5500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11)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D55008" w:rsidRPr="00D55008" w:rsidRDefault="00D55008" w:rsidP="00D55008">
            <w:pPr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>12)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</w:t>
            </w:r>
            <w:r w:rsidRPr="00D55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ситуациях технического, техногенного и иного характера и принимаемых мерах по их разрешению; </w:t>
            </w:r>
          </w:p>
          <w:p w:rsidR="00D55008" w:rsidRPr="00D55008" w:rsidRDefault="00D55008" w:rsidP="00D55008">
            <w:pPr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D55008" w:rsidRPr="00D55008" w:rsidRDefault="00D55008" w:rsidP="00D550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14)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D55008" w:rsidRPr="00D55008" w:rsidRDefault="00D55008" w:rsidP="00D550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15)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D55008" w:rsidRPr="00D55008" w:rsidRDefault="00D55008" w:rsidP="00D55008">
            <w:pPr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D55008" w:rsidRPr="00D55008" w:rsidRDefault="00D55008" w:rsidP="00D5500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5008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D55008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  <w:proofErr w:type="gramEnd"/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 xml:space="preserve">3. Старший специалист 1 разряда отдела также: 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 xml:space="preserve">1) принимает предусмотренные законодательством Российской Федерации меры по недопущению возникновения конфликтов интересов и урегулированию </w:t>
            </w:r>
            <w:r w:rsidRPr="00D55008">
              <w:rPr>
                <w:rFonts w:ascii="Times New Roman" w:hAnsi="Times New Roman"/>
                <w:sz w:val="20"/>
                <w:szCs w:val="20"/>
              </w:rPr>
              <w:lastRenderedPageBreak/>
              <w:t>возникших конфликтов интересов;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 xml:space="preserve"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</w:t>
            </w:r>
            <w:r w:rsidRPr="00D55008">
              <w:rPr>
                <w:rFonts w:ascii="Times New Roman" w:hAnsi="Times New Roman"/>
                <w:sz w:val="20"/>
                <w:szCs w:val="20"/>
              </w:rPr>
              <w:lastRenderedPageBreak/>
              <w:t>главного специалиста-эксперта отдела или ведущего специалиста-эксперта отдела.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D55008" w:rsidRPr="00D55008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5008">
              <w:rPr>
                <w:rFonts w:ascii="Times New Roman" w:hAnsi="Times New Roman"/>
                <w:sz w:val="20"/>
                <w:szCs w:val="20"/>
              </w:rPr>
              <w:t>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5C6DFD" w:rsidRPr="00D55008" w:rsidRDefault="005C6DFD" w:rsidP="00C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 копию паспорта или заменяющего его документа (соответствующий документ предъявляется лично по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прибытии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CC076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C07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C07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</w:t>
            </w:r>
            <w:bookmarkStart w:id="7" w:name="_GoBack"/>
            <w:bookmarkEnd w:id="7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37" w:rsidRDefault="00E25437" w:rsidP="00201071">
      <w:pPr>
        <w:spacing w:after="0" w:line="240" w:lineRule="auto"/>
      </w:pPr>
      <w:r>
        <w:separator/>
      </w:r>
    </w:p>
  </w:endnote>
  <w:endnote w:type="continuationSeparator" w:id="0">
    <w:p w:rsidR="00E25437" w:rsidRDefault="00E2543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37" w:rsidRDefault="00E25437" w:rsidP="00201071">
      <w:pPr>
        <w:spacing w:after="0" w:line="240" w:lineRule="auto"/>
      </w:pPr>
      <w:r>
        <w:separator/>
      </w:r>
    </w:p>
  </w:footnote>
  <w:footnote w:type="continuationSeparator" w:id="0">
    <w:p w:rsidR="00E25437" w:rsidRDefault="00E2543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A06A0"/>
    <w:rsid w:val="001B2AF3"/>
    <w:rsid w:val="001E7427"/>
    <w:rsid w:val="00201071"/>
    <w:rsid w:val="00244DBB"/>
    <w:rsid w:val="00276FD1"/>
    <w:rsid w:val="0028152D"/>
    <w:rsid w:val="00302EFB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627E"/>
    <w:rsid w:val="0061190E"/>
    <w:rsid w:val="006461D8"/>
    <w:rsid w:val="00660633"/>
    <w:rsid w:val="0069144C"/>
    <w:rsid w:val="00695DC3"/>
    <w:rsid w:val="006C1B6F"/>
    <w:rsid w:val="006C7F4A"/>
    <w:rsid w:val="006D1F8C"/>
    <w:rsid w:val="006E76B0"/>
    <w:rsid w:val="006F25CE"/>
    <w:rsid w:val="00702CB0"/>
    <w:rsid w:val="00706249"/>
    <w:rsid w:val="00720312"/>
    <w:rsid w:val="0073052D"/>
    <w:rsid w:val="00762EE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936293"/>
    <w:rsid w:val="00960589"/>
    <w:rsid w:val="00970E64"/>
    <w:rsid w:val="009776CB"/>
    <w:rsid w:val="00993A78"/>
    <w:rsid w:val="009953B9"/>
    <w:rsid w:val="009D2E6E"/>
    <w:rsid w:val="009D3C2B"/>
    <w:rsid w:val="009E45EE"/>
    <w:rsid w:val="009E73B7"/>
    <w:rsid w:val="00A05C6C"/>
    <w:rsid w:val="00A13F0A"/>
    <w:rsid w:val="00A60652"/>
    <w:rsid w:val="00A653EA"/>
    <w:rsid w:val="00A654EC"/>
    <w:rsid w:val="00AA55A0"/>
    <w:rsid w:val="00AB3F47"/>
    <w:rsid w:val="00AD1F18"/>
    <w:rsid w:val="00AE4D1A"/>
    <w:rsid w:val="00B362E8"/>
    <w:rsid w:val="00B60CA2"/>
    <w:rsid w:val="00B66103"/>
    <w:rsid w:val="00B81884"/>
    <w:rsid w:val="00BC1E0E"/>
    <w:rsid w:val="00BE4DFB"/>
    <w:rsid w:val="00C17DFC"/>
    <w:rsid w:val="00C3575F"/>
    <w:rsid w:val="00C8177B"/>
    <w:rsid w:val="00C92028"/>
    <w:rsid w:val="00CC0765"/>
    <w:rsid w:val="00CC1142"/>
    <w:rsid w:val="00CD1F58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437"/>
    <w:rsid w:val="00E25DC7"/>
    <w:rsid w:val="00E41361"/>
    <w:rsid w:val="00E4684B"/>
    <w:rsid w:val="00E63271"/>
    <w:rsid w:val="00E750C6"/>
    <w:rsid w:val="00EA0FED"/>
    <w:rsid w:val="00EB3804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37BE-A0B4-4279-9A9E-C38F41B3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3</cp:revision>
  <cp:lastPrinted>2019-07-23T07:43:00Z</cp:lastPrinted>
  <dcterms:created xsi:type="dcterms:W3CDTF">2020-05-15T11:29:00Z</dcterms:created>
  <dcterms:modified xsi:type="dcterms:W3CDTF">2020-05-15T11:30:00Z</dcterms:modified>
</cp:coreProperties>
</file>